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52" w:rsidRP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Lucida Sans" w:eastAsia="宋体" w:hAnsi="Lucida Sans" w:cs="宋体"/>
          <w:color w:val="362B36"/>
          <w:kern w:val="0"/>
          <w:sz w:val="17"/>
          <w:szCs w:val="17"/>
        </w:rPr>
      </w:pP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参考文献著录格式本刊采用顺序编码制，文内引用处依出现的先后以阿拉伯数字排序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并用方括号标注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再在文末依次列出参考文献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一般论著限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15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条以内。参考文献的作者为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1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～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3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名者全部列出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,3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名以上者只列出前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3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名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其后加“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等”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(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日文加“他”，英文加“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,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et al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”，俄文加“цкр”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)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。</w:t>
      </w:r>
      <w:r w:rsidRPr="007A1ED9">
        <w:rPr>
          <w:rFonts w:ascii="宋体" w:eastAsia="宋体" w:hAnsi="宋体" w:cs="宋体" w:hint="eastAsia"/>
          <w:color w:val="362B36"/>
          <w:kern w:val="0"/>
          <w:sz w:val="17"/>
          <w:szCs w:val="17"/>
          <w:highlight w:val="yellow"/>
        </w:rPr>
        <w:t>英文作者姓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（</w:t>
      </w:r>
      <w:r w:rsidRPr="00801A8D">
        <w:rPr>
          <w:rFonts w:ascii="宋体" w:eastAsia="宋体" w:hAnsi="宋体" w:cs="宋体" w:hint="eastAsia"/>
          <w:color w:val="362B36"/>
          <w:kern w:val="0"/>
          <w:sz w:val="17"/>
          <w:szCs w:val="17"/>
          <w:highlight w:val="yellow"/>
        </w:rPr>
        <w:t>全称，大写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）在前，名（首字母缩写，大写）在后。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举例如下。</w:t>
      </w:r>
    </w:p>
    <w:p w:rsidR="00D95E52" w:rsidRP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Lucida Sans" w:eastAsia="宋体" w:hAnsi="Lucida Sans" w:cs="宋体"/>
          <w:color w:val="362B36"/>
          <w:kern w:val="0"/>
          <w:sz w:val="17"/>
          <w:szCs w:val="17"/>
        </w:rPr>
      </w:pP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[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期刊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] 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>
        <w:rPr>
          <w:rFonts w:ascii="Lucida Sans" w:eastAsia="宋体" w:hAnsi="Lucida Sans" w:cs="宋体" w:hint="eastAsia"/>
          <w:color w:val="362B36"/>
          <w:kern w:val="0"/>
          <w:sz w:val="17"/>
        </w:rPr>
        <w:t xml:space="preserve"> [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序号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]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作者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文题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刊名〔中文期刊用全名，西文按美国《医学索引》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(Index Medicus)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缩写〕，年份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卷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(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期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)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：起页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-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止页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 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如：</w:t>
      </w:r>
    </w:p>
    <w:p w:rsid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宋体" w:eastAsia="宋体" w:hAnsi="宋体" w:cs="宋体"/>
          <w:color w:val="362B36"/>
          <w:kern w:val="0"/>
          <w:sz w:val="17"/>
          <w:szCs w:val="17"/>
        </w:rPr>
      </w:pP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[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1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]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   </w:t>
      </w:r>
      <w:r w:rsidRPr="00D95E52">
        <w:rPr>
          <w:rFonts w:ascii="宋体" w:eastAsia="宋体" w:hAnsi="宋体" w:cs="宋体"/>
          <w:color w:val="362B36"/>
          <w:kern w:val="0"/>
          <w:sz w:val="17"/>
          <w:szCs w:val="17"/>
        </w:rPr>
        <w:t>黄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 xml:space="preserve"> </w:t>
      </w:r>
      <w:r w:rsidRPr="00D95E52">
        <w:rPr>
          <w:rFonts w:ascii="宋体" w:eastAsia="宋体" w:hAnsi="宋体" w:cs="宋体"/>
          <w:color w:val="362B36"/>
          <w:kern w:val="0"/>
          <w:sz w:val="17"/>
          <w:szCs w:val="17"/>
        </w:rPr>
        <w:t>迪, 李雯雯, 沈沛成, 等. 固本通络方治疗脾肾气虚型IgA肾病的临床疗效观察.上海中医药杂志, 2015</w:t>
      </w:r>
      <w:r w:rsidR="0015021F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/>
          <w:color w:val="362B36"/>
          <w:kern w:val="0"/>
          <w:sz w:val="17"/>
          <w:szCs w:val="17"/>
        </w:rPr>
        <w:t xml:space="preserve"> 49(3)</w:t>
      </w:r>
      <w:r w:rsidR="0015021F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:</w:t>
      </w:r>
      <w:r w:rsidRPr="00D95E52">
        <w:rPr>
          <w:rFonts w:ascii="宋体" w:eastAsia="宋体" w:hAnsi="宋体" w:cs="宋体"/>
          <w:color w:val="362B36"/>
          <w:kern w:val="0"/>
          <w:sz w:val="17"/>
          <w:szCs w:val="17"/>
        </w:rPr>
        <w:t xml:space="preserve"> 54-56.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 xml:space="preserve"> </w:t>
      </w:r>
    </w:p>
    <w:p w:rsid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宋体" w:eastAsia="宋体" w:hAnsi="宋体" w:cs="宋体"/>
          <w:color w:val="362B36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如果引用的期刊中，年、卷、期、起止页有任意一项不完整，或者改文献来自电子期刊，请给出引用日期、访问路径、doi。格式为</w:t>
      </w:r>
    </w:p>
    <w:p w:rsidR="00D95E52" w:rsidRP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Lucida Sans" w:eastAsia="宋体" w:hAnsi="Lucida Sans" w:cs="宋体"/>
          <w:color w:val="362B36"/>
          <w:kern w:val="0"/>
          <w:sz w:val="17"/>
          <w:szCs w:val="17"/>
        </w:rPr>
      </w:pPr>
      <w:r>
        <w:rPr>
          <w:rFonts w:ascii="Lucida Sans" w:eastAsia="宋体" w:hAnsi="Lucida Sans" w:cs="宋体" w:hint="eastAsia"/>
          <w:color w:val="362B36"/>
          <w:kern w:val="0"/>
          <w:sz w:val="17"/>
        </w:rPr>
        <w:t>[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序号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]</w:t>
      </w:r>
      <w:r>
        <w:rPr>
          <w:rFonts w:ascii="Lucida Sans" w:eastAsia="宋体" w:hAnsi="Lucida Sans" w:cs="宋体" w:hint="eastAsia"/>
          <w:color w:val="362B36"/>
          <w:kern w:val="0"/>
          <w:sz w:val="17"/>
        </w:rPr>
        <w:t xml:space="preserve">  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作者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文题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刊名，年份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卷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(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期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)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：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页码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[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引用日期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].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访问路径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 xml:space="preserve">.doi. 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例如：</w:t>
      </w:r>
    </w:p>
    <w:p w:rsidR="00D95E52" w:rsidRP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Lucida Sans" w:eastAsia="宋体" w:hAnsi="Lucida Sans" w:cs="宋体"/>
          <w:color w:val="362B36"/>
          <w:kern w:val="0"/>
          <w:sz w:val="17"/>
          <w:szCs w:val="17"/>
        </w:rPr>
      </w:pP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[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2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]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    </w:t>
      </w:r>
      <w:r w:rsidRPr="007A1ED9">
        <w:rPr>
          <w:rFonts w:ascii="Lucida Sans" w:eastAsia="宋体" w:hAnsi="Lucida Sans" w:cs="宋体"/>
          <w:color w:val="362B36"/>
          <w:kern w:val="0"/>
          <w:sz w:val="17"/>
          <w:szCs w:val="17"/>
          <w:highlight w:val="yellow"/>
        </w:rPr>
        <w:t>SAKAI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F, </w:t>
      </w:r>
      <w:r w:rsidRPr="007A1ED9">
        <w:rPr>
          <w:rFonts w:ascii="Lucida Sans" w:eastAsia="宋体" w:hAnsi="Lucida Sans" w:cs="宋体"/>
          <w:color w:val="362B36"/>
          <w:kern w:val="0"/>
          <w:sz w:val="17"/>
          <w:szCs w:val="17"/>
          <w:highlight w:val="yellow"/>
        </w:rPr>
        <w:t>HOSOYA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T, </w:t>
      </w:r>
      <w:r w:rsidRPr="007A1ED9">
        <w:rPr>
          <w:rFonts w:ascii="Lucida Sans" w:eastAsia="宋体" w:hAnsi="Lucida Sans" w:cs="宋体"/>
          <w:color w:val="362B36"/>
          <w:kern w:val="0"/>
          <w:sz w:val="17"/>
          <w:szCs w:val="17"/>
          <w:highlight w:val="yellow"/>
        </w:rPr>
        <w:t>ONO-OHMACHI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A, </w:t>
      </w:r>
      <w:r w:rsidRPr="00D95E52">
        <w:rPr>
          <w:rFonts w:ascii="Lucida Sans" w:eastAsia="宋体" w:hAnsi="Lucida Sans" w:cs="宋体"/>
          <w:i/>
          <w:color w:val="362B36"/>
          <w:kern w:val="0"/>
          <w:sz w:val="17"/>
          <w:szCs w:val="17"/>
        </w:rPr>
        <w:t>et al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．</w:t>
      </w:r>
      <w:hyperlink r:id="rId6" w:history="1">
        <w:r w:rsidRPr="00D95E52">
          <w:rPr>
            <w:rStyle w:val="a4"/>
            <w:rFonts w:ascii="Lucida Sans" w:eastAsia="宋体" w:hAnsi="Lucida Sans" w:cs="宋体"/>
            <w:i/>
            <w:color w:val="auto"/>
            <w:kern w:val="0"/>
            <w:sz w:val="17"/>
            <w:szCs w:val="17"/>
            <w:u w:val="none"/>
          </w:rPr>
          <w:t xml:space="preserve">Lactobacillus gasseri </w:t>
        </w:r>
        <w:r w:rsidRPr="00D95E52">
          <w:rPr>
            <w:rStyle w:val="a4"/>
            <w:rFonts w:ascii="Lucida Sans" w:eastAsia="宋体" w:hAnsi="Lucida Sans" w:cs="宋体"/>
            <w:color w:val="auto"/>
            <w:kern w:val="0"/>
            <w:sz w:val="17"/>
            <w:szCs w:val="17"/>
            <w:u w:val="none"/>
          </w:rPr>
          <w:t>SBT2055 induces TGF-</w:t>
        </w:r>
        <w:r w:rsidRPr="00D95E52">
          <w:rPr>
            <w:rStyle w:val="a4"/>
            <w:rFonts w:ascii="Arial" w:eastAsia="宋体" w:hAnsi="Arial" w:cs="Arial"/>
            <w:color w:val="auto"/>
            <w:kern w:val="0"/>
            <w:sz w:val="17"/>
            <w:szCs w:val="17"/>
            <w:u w:val="none"/>
          </w:rPr>
          <w:t>β</w:t>
        </w:r>
        <w:r w:rsidRPr="00D95E52">
          <w:rPr>
            <w:rStyle w:val="a4"/>
            <w:rFonts w:ascii="Lucida Sans" w:eastAsia="宋体" w:hAnsi="Lucida Sans" w:cs="Lucida Sans"/>
            <w:color w:val="auto"/>
            <w:kern w:val="0"/>
            <w:sz w:val="17"/>
            <w:szCs w:val="17"/>
            <w:u w:val="none"/>
          </w:rPr>
          <w:t xml:space="preserve"> expression in dendritic cells and activates TLR2 signal to produce IgA in the small intestine</w:t>
        </w:r>
        <w:r w:rsidRPr="00D95E52">
          <w:rPr>
            <w:rStyle w:val="a4"/>
            <w:rFonts w:ascii="Lucida Sans" w:eastAsia="宋体" w:hAnsi="Lucida Sans" w:cs="Lucida Sans"/>
            <w:kern w:val="0"/>
            <w:sz w:val="17"/>
            <w:szCs w:val="17"/>
          </w:rPr>
          <w:t>.</w:t>
        </w:r>
      </w:hyperlink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PLoS One</w:t>
      </w:r>
      <w:r w:rsidRPr="00D95E52"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 xml:space="preserve">, 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2014</w:t>
      </w:r>
      <w:r w:rsidRPr="00D95E52"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,</w:t>
      </w:r>
      <w:r>
        <w:rPr>
          <w:rFonts w:ascii="Lucida Sans" w:eastAsia="宋体" w:hAnsi="Lucida Sans" w:cs="宋体"/>
          <w:color w:val="362B36"/>
          <w:kern w:val="0"/>
          <w:sz w:val="17"/>
          <w:szCs w:val="17"/>
        </w:rPr>
        <w:t>9(8):e105370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[2015-07-22].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http://www.ncbi.nlm.nih.gov/pmc/articles/PMC4140756/pdf/pone.0105370.pdf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.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doi:10.1371/journal.pone.0105370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.</w:t>
      </w:r>
    </w:p>
    <w:p w:rsidR="00D95E52" w:rsidRP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Lucida Sans" w:eastAsia="宋体" w:hAnsi="Lucida Sans" w:cs="宋体"/>
          <w:color w:val="362B36"/>
          <w:kern w:val="0"/>
          <w:sz w:val="17"/>
          <w:szCs w:val="17"/>
        </w:rPr>
      </w:pP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[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书籍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]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序号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作者（或：作者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文题</w:t>
      </w:r>
      <w:r w:rsidR="00DF321F">
        <w:rPr>
          <w:rFonts w:ascii="宋体" w:eastAsia="宋体" w:hAnsi="宋体" w:cs="宋体"/>
          <w:color w:val="362B36"/>
          <w:kern w:val="0"/>
          <w:sz w:val="17"/>
          <w:szCs w:val="17"/>
        </w:rPr>
        <w:t>）</w:t>
      </w:r>
      <w:r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//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主编者</w:t>
      </w:r>
      <w:r w:rsidR="00DF321F"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书名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卷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(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册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)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次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版次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出版地：出版者，年份：起页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-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止页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 </w:t>
      </w:r>
      <w:r w:rsidRPr="00D95E52">
        <w:rPr>
          <w:rFonts w:ascii="Lucida Sans" w:eastAsia="宋体" w:hAnsi="Lucida Sans" w:cs="宋体"/>
          <w:color w:val="362B36"/>
          <w:kern w:val="0"/>
          <w:sz w:val="17"/>
        </w:rPr>
        <w:t> 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如：</w:t>
      </w:r>
    </w:p>
    <w:p w:rsidR="00D95E52" w:rsidRP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Lucida Sans" w:eastAsia="宋体" w:hAnsi="Lucida Sans" w:cs="宋体"/>
          <w:color w:val="362B36"/>
          <w:kern w:val="0"/>
          <w:sz w:val="17"/>
          <w:szCs w:val="17"/>
        </w:rPr>
      </w:pP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[3]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    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曾宪九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抗菌术与无菌术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//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黄家驷</w:t>
      </w:r>
      <w:r w:rsidR="00DF321F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 xml:space="preserve"> ,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吴阶平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外科学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(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上册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).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第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1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版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.</w:t>
      </w:r>
      <w:r w:rsidRPr="00D95E52">
        <w:rPr>
          <w:rFonts w:ascii="宋体" w:eastAsia="宋体" w:hAnsi="宋体" w:cs="宋体" w:hint="eastAsia"/>
          <w:color w:val="362B36"/>
          <w:kern w:val="0"/>
          <w:sz w:val="17"/>
          <w:szCs w:val="17"/>
        </w:rPr>
        <w:t>北京：人民卫生出版社，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1979:8-11.</w:t>
      </w:r>
    </w:p>
    <w:p w:rsidR="00D95E52" w:rsidRPr="00D95E52" w:rsidRDefault="00D95E52" w:rsidP="00D95E52">
      <w:pPr>
        <w:widowControl/>
        <w:shd w:val="clear" w:color="auto" w:fill="F2F5F7"/>
        <w:spacing w:before="240" w:after="240" w:line="215" w:lineRule="atLeast"/>
        <w:jc w:val="left"/>
        <w:rPr>
          <w:rFonts w:ascii="Lucida Sans" w:eastAsia="宋体" w:hAnsi="Lucida Sans" w:cs="宋体"/>
          <w:color w:val="362B36"/>
          <w:kern w:val="0"/>
          <w:sz w:val="17"/>
          <w:szCs w:val="17"/>
        </w:rPr>
      </w:pP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[4]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>      ATKINSON DE. Enzymes as control elements in metabolic regulation</w:t>
      </w:r>
      <w:r>
        <w:rPr>
          <w:rFonts w:ascii="Lucida Sans" w:eastAsia="宋体" w:hAnsi="Lucida Sans" w:cs="宋体" w:hint="eastAsia"/>
          <w:color w:val="362B36"/>
          <w:kern w:val="0"/>
          <w:sz w:val="17"/>
          <w:szCs w:val="17"/>
        </w:rPr>
        <w:t>//</w:t>
      </w:r>
      <w:r w:rsidRPr="00D95E52">
        <w:rPr>
          <w:rFonts w:ascii="Lucida Sans" w:eastAsia="宋体" w:hAnsi="Lucida Sans" w:cs="宋体"/>
          <w:color w:val="362B36"/>
          <w:kern w:val="0"/>
          <w:sz w:val="17"/>
          <w:szCs w:val="17"/>
        </w:rPr>
        <w:t xml:space="preserve"> Boyer PD. The enzymes. 1st ed. New York: Acad Press, 1970:461-463.</w:t>
      </w:r>
    </w:p>
    <w:p w:rsidR="007E219D" w:rsidRPr="00D95E52" w:rsidRDefault="007E219D"/>
    <w:sectPr w:rsidR="007E219D" w:rsidRPr="00D95E52" w:rsidSect="007E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40" w:rsidRDefault="006C5740" w:rsidP="0015021F">
      <w:r>
        <w:separator/>
      </w:r>
    </w:p>
  </w:endnote>
  <w:endnote w:type="continuationSeparator" w:id="1">
    <w:p w:rsidR="006C5740" w:rsidRDefault="006C5740" w:rsidP="00150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40" w:rsidRDefault="006C5740" w:rsidP="0015021F">
      <w:r>
        <w:separator/>
      </w:r>
    </w:p>
  </w:footnote>
  <w:footnote w:type="continuationSeparator" w:id="1">
    <w:p w:rsidR="006C5740" w:rsidRDefault="006C5740" w:rsidP="001502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E52"/>
    <w:rsid w:val="00046CD9"/>
    <w:rsid w:val="0015021F"/>
    <w:rsid w:val="002D3F3D"/>
    <w:rsid w:val="006A7569"/>
    <w:rsid w:val="006C5740"/>
    <w:rsid w:val="0074363B"/>
    <w:rsid w:val="007A1ED9"/>
    <w:rsid w:val="007E219D"/>
    <w:rsid w:val="00801A8D"/>
    <w:rsid w:val="00802F41"/>
    <w:rsid w:val="00927B62"/>
    <w:rsid w:val="00A93081"/>
    <w:rsid w:val="00BC4794"/>
    <w:rsid w:val="00BF34B4"/>
    <w:rsid w:val="00D95E52"/>
    <w:rsid w:val="00DF321F"/>
    <w:rsid w:val="00FA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E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95E52"/>
  </w:style>
  <w:style w:type="character" w:styleId="a4">
    <w:name w:val="Hyperlink"/>
    <w:basedOn w:val="a0"/>
    <w:uiPriority w:val="99"/>
    <w:unhideWhenUsed/>
    <w:rsid w:val="00D95E52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46CD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46CD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150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15021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150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1502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1447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YOYO</cp:lastModifiedBy>
  <cp:revision>6</cp:revision>
  <dcterms:created xsi:type="dcterms:W3CDTF">2016-04-21T03:48:00Z</dcterms:created>
  <dcterms:modified xsi:type="dcterms:W3CDTF">2016-04-27T09:36:00Z</dcterms:modified>
</cp:coreProperties>
</file>